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9B9B" w14:textId="60498837" w:rsidR="00071738" w:rsidRPr="00A75792" w:rsidRDefault="00071738" w:rsidP="00635668">
      <w:pPr>
        <w:pStyle w:val="Prrafodelista"/>
        <w:numPr>
          <w:ilvl w:val="0"/>
          <w:numId w:val="2"/>
        </w:numPr>
        <w:ind w:left="142" w:hanging="284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 w:rsidRPr="00A75792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VIVIENDA EXISTENTE</w:t>
      </w:r>
      <w:r w:rsidR="00A348F0" w:rsidRPr="00A75792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:</w:t>
      </w:r>
    </w:p>
    <w:p w14:paraId="741D4807" w14:textId="772CB145" w:rsidR="003949E7" w:rsidRPr="006627C5" w:rsidRDefault="003949E7" w:rsidP="00AA75B5">
      <w:pPr>
        <w:pStyle w:val="Prrafodelista"/>
        <w:spacing w:after="150" w:line="240" w:lineRule="auto"/>
        <w:ind w:left="426"/>
        <w:jc w:val="both"/>
        <w:rPr>
          <w:rFonts w:ascii="Arial" w:eastAsia="Times New Roman" w:hAnsi="Arial" w:cs="Arial"/>
          <w:color w:val="333333"/>
          <w:sz w:val="10"/>
          <w:szCs w:val="10"/>
          <w:lang w:val="es-ES" w:eastAsia="es-GT"/>
        </w:rPr>
      </w:pPr>
      <w:r w:rsidRPr="004D769B">
        <w:rPr>
          <w:rFonts w:ascii="Arial" w:eastAsia="Times New Roman" w:hAnsi="Arial" w:cs="Arial"/>
          <w:color w:val="000000"/>
          <w:lang w:val="es-ES" w:eastAsia="es-GT"/>
        </w:rPr>
        <w:t xml:space="preserve">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A75B5" w14:paraId="043460EA" w14:textId="77777777" w:rsidTr="00456536">
        <w:trPr>
          <w:trHeight w:val="1084"/>
        </w:trPr>
        <w:tc>
          <w:tcPr>
            <w:tcW w:w="9067" w:type="dxa"/>
            <w:vAlign w:val="bottom"/>
          </w:tcPr>
          <w:p w14:paraId="0ACD87CE" w14:textId="77777777" w:rsidR="007A3028" w:rsidRPr="007A3028" w:rsidRDefault="007A3028" w:rsidP="007A3028">
            <w:pPr>
              <w:pStyle w:val="Prrafodelista"/>
              <w:spacing w:after="150"/>
              <w:ind w:left="426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val="es-ES" w:eastAsia="es-GT"/>
              </w:rPr>
            </w:pPr>
          </w:p>
          <w:p w14:paraId="15E04820" w14:textId="77777777" w:rsidR="00A75792" w:rsidRPr="0097120B" w:rsidRDefault="00AA75B5" w:rsidP="00A75792">
            <w:pPr>
              <w:pStyle w:val="Prrafodelista"/>
              <w:numPr>
                <w:ilvl w:val="0"/>
                <w:numId w:val="5"/>
              </w:numPr>
              <w:spacing w:after="150"/>
              <w:ind w:left="426" w:hanging="284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Es toda aquella vivienda </w:t>
            </w:r>
            <w:r w:rsidR="00A75792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individual o de proyectos, cuya venta se pretenda financiar por medio del Sistema FHA</w:t>
            </w: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, </w:t>
            </w:r>
            <w:r w:rsidR="00A75792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y que no haya sido objeto de las inspecciones reglamentarias durante su construcción.</w:t>
            </w: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 </w:t>
            </w:r>
          </w:p>
          <w:p w14:paraId="4692AE45" w14:textId="09FEFA98" w:rsidR="00AA75B5" w:rsidRPr="00AA75B5" w:rsidRDefault="00AA75B5" w:rsidP="00A75792">
            <w:pPr>
              <w:pStyle w:val="Prrafodelista"/>
              <w:numPr>
                <w:ilvl w:val="0"/>
                <w:numId w:val="5"/>
              </w:numPr>
              <w:spacing w:after="150"/>
              <w:ind w:left="426" w:hanging="284"/>
              <w:jc w:val="both"/>
              <w:rPr>
                <w:rFonts w:ascii="Arial" w:eastAsia="Times New Roman" w:hAnsi="Arial" w:cs="Arial"/>
                <w:color w:val="333333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Es requisito importante, para utilizar este servicio, solicitar al FHA la valuación de la vivienda.</w:t>
            </w:r>
            <w:r w:rsidRPr="004D769B">
              <w:rPr>
                <w:rFonts w:ascii="Arial" w:eastAsia="Times New Roman" w:hAnsi="Arial" w:cs="Arial"/>
                <w:color w:val="000000"/>
                <w:lang w:val="es-ES" w:eastAsia="es-GT"/>
              </w:rPr>
              <w:t xml:space="preserve">  </w:t>
            </w:r>
          </w:p>
        </w:tc>
      </w:tr>
    </w:tbl>
    <w:p w14:paraId="6755C8FD" w14:textId="77777777" w:rsidR="00AA75B5" w:rsidRPr="00A34CE3" w:rsidRDefault="00AA75B5" w:rsidP="00043445">
      <w:pPr>
        <w:shd w:val="clear" w:color="auto" w:fill="FFFFFF"/>
        <w:spacing w:after="0" w:line="240" w:lineRule="auto"/>
        <w:ind w:firstLine="142"/>
        <w:jc w:val="both"/>
        <w:outlineLvl w:val="2"/>
        <w:rPr>
          <w:rFonts w:ascii="Arial" w:eastAsia="Times New Roman" w:hAnsi="Arial" w:cs="Arial"/>
          <w:b/>
          <w:bCs/>
          <w:color w:val="1F3864" w:themeColor="accent1" w:themeShade="80"/>
          <w:sz w:val="16"/>
          <w:szCs w:val="16"/>
          <w:lang w:val="es-ES" w:eastAsia="es-GT"/>
        </w:rPr>
      </w:pPr>
    </w:p>
    <w:p w14:paraId="3A168410" w14:textId="741142D7" w:rsidR="00DE4F09" w:rsidRDefault="00A348F0" w:rsidP="00101CF4">
      <w:pPr>
        <w:spacing w:after="0" w:line="240" w:lineRule="auto"/>
        <w:rPr>
          <w:rFonts w:ascii="Arial" w:hAnsi="Arial" w:cs="Arial"/>
          <w:b/>
          <w:bCs/>
          <w:color w:val="1F3864" w:themeColor="accent1" w:themeShade="80"/>
          <w:sz w:val="26"/>
          <w:szCs w:val="26"/>
          <w:lang w:val="es-ES" w:eastAsia="es-GT"/>
        </w:rPr>
      </w:pPr>
      <w:r w:rsidRPr="00101CF4">
        <w:rPr>
          <w:rFonts w:ascii="Arial" w:hAnsi="Arial" w:cs="Arial"/>
          <w:b/>
          <w:bCs/>
          <w:color w:val="1F3864" w:themeColor="accent1" w:themeShade="80"/>
          <w:sz w:val="26"/>
          <w:szCs w:val="26"/>
          <w:lang w:val="es-ES" w:eastAsia="es-GT"/>
        </w:rPr>
        <w:t>Beneficios:</w:t>
      </w:r>
    </w:p>
    <w:p w14:paraId="553E1B74" w14:textId="77777777" w:rsidR="00101CF4" w:rsidRPr="00101CF4" w:rsidRDefault="00101CF4" w:rsidP="00101CF4">
      <w:pPr>
        <w:spacing w:after="0" w:line="240" w:lineRule="auto"/>
        <w:rPr>
          <w:rFonts w:ascii="Arial" w:hAnsi="Arial" w:cs="Arial"/>
          <w:b/>
          <w:bCs/>
          <w:color w:val="1F3864" w:themeColor="accent1" w:themeShade="80"/>
          <w:sz w:val="10"/>
          <w:szCs w:val="10"/>
          <w:lang w:val="es-ES" w:eastAsia="es-GT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A75B5" w14:paraId="3BE9A2CA" w14:textId="77777777" w:rsidTr="00C73174">
        <w:trPr>
          <w:trHeight w:val="1170"/>
        </w:trPr>
        <w:tc>
          <w:tcPr>
            <w:tcW w:w="9067" w:type="dxa"/>
            <w:vAlign w:val="bottom"/>
          </w:tcPr>
          <w:p w14:paraId="7362D12D" w14:textId="77777777" w:rsidR="00AA75B5" w:rsidRPr="00AA75B5" w:rsidRDefault="00AA75B5" w:rsidP="00101CF4">
            <w:pPr>
              <w:shd w:val="clear" w:color="auto" w:fill="FFFFFF"/>
              <w:ind w:left="709"/>
              <w:jc w:val="both"/>
              <w:rPr>
                <w:rFonts w:ascii="Arial" w:eastAsia="Times New Roman" w:hAnsi="Arial" w:cs="Arial"/>
                <w:color w:val="333333"/>
                <w:sz w:val="10"/>
                <w:szCs w:val="10"/>
                <w:lang w:val="es-ES" w:eastAsia="es-GT"/>
              </w:rPr>
            </w:pPr>
            <w:bookmarkStart w:id="0" w:name="_Hlk127429912"/>
          </w:p>
          <w:p w14:paraId="74B58978" w14:textId="0BE1E034" w:rsidR="00AA75B5" w:rsidRPr="0097120B" w:rsidRDefault="00AA75B5" w:rsidP="00101CF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447"/>
              </w:tabs>
              <w:ind w:hanging="556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Tasa de interés preferencial al trabajar con el sistema FHA.</w:t>
            </w:r>
          </w:p>
          <w:p w14:paraId="7367BFD2" w14:textId="4F2EB556" w:rsidR="00AA75B5" w:rsidRPr="0097120B" w:rsidRDefault="00825D48" w:rsidP="00101CF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447"/>
              </w:tabs>
              <w:ind w:hanging="556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Helvetica"/>
                <w:sz w:val="24"/>
                <w:szCs w:val="24"/>
                <w:lang w:val="es-ES" w:eastAsia="es-GT"/>
              </w:rPr>
              <w:t>Un 10</w:t>
            </w:r>
            <w:r w:rsidR="00AA75B5" w:rsidRPr="0097120B">
              <w:rPr>
                <w:rFonts w:ascii="Arial Narrow" w:eastAsia="Times New Roman" w:hAnsi="Arial Narrow" w:cs="Helvetica"/>
                <w:sz w:val="24"/>
                <w:szCs w:val="24"/>
                <w:lang w:val="es-ES" w:eastAsia="es-GT"/>
              </w:rPr>
              <w:t>% de enganche</w:t>
            </w:r>
            <w:r w:rsidR="009257AD" w:rsidRPr="0097120B">
              <w:rPr>
                <w:rFonts w:ascii="Arial Narrow" w:eastAsia="Times New Roman" w:hAnsi="Arial Narrow" w:cs="Helvetica"/>
                <w:sz w:val="24"/>
                <w:szCs w:val="24"/>
                <w:lang w:val="es-ES" w:eastAsia="es-GT"/>
              </w:rPr>
              <w:t xml:space="preserve"> </w:t>
            </w:r>
            <w:r w:rsidR="00AA75B5" w:rsidRPr="0097120B">
              <w:rPr>
                <w:rFonts w:ascii="Arial Narrow" w:eastAsia="Times New Roman" w:hAnsi="Arial Narrow" w:cs="Helvetica"/>
                <w:sz w:val="24"/>
                <w:szCs w:val="24"/>
                <w:lang w:val="es-ES" w:eastAsia="es-GT"/>
              </w:rPr>
              <w:t>(de acuerdo al valor otorgado a la vivienda por el FHA).</w:t>
            </w:r>
          </w:p>
          <w:p w14:paraId="6E36D100" w14:textId="69358E54" w:rsidR="00AA75B5" w:rsidRPr="0097120B" w:rsidRDefault="00AA75B5" w:rsidP="00101CF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447"/>
              </w:tabs>
              <w:ind w:hanging="556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Plazo de financiamiento hasta 30 años. </w:t>
            </w:r>
          </w:p>
          <w:p w14:paraId="47FCD4A0" w14:textId="5CDDC6F2" w:rsidR="00AA75B5" w:rsidRPr="0097120B" w:rsidRDefault="00AA75B5" w:rsidP="00101CF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447"/>
              </w:tabs>
              <w:ind w:hanging="556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Análisis de capacidad de pago por núcleo familiar. </w:t>
            </w:r>
          </w:p>
          <w:p w14:paraId="43262BE6" w14:textId="57C0CAEA" w:rsidR="00D36581" w:rsidRPr="0097120B" w:rsidRDefault="00D36581" w:rsidP="00101CF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447"/>
              </w:tabs>
              <w:ind w:hanging="556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Seguro de Desgravamen.</w:t>
            </w:r>
          </w:p>
          <w:p w14:paraId="1CD73CE9" w14:textId="4DC0D311" w:rsidR="00AA75B5" w:rsidRPr="0097120B" w:rsidRDefault="00AA75B5" w:rsidP="00101CF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447"/>
              </w:tabs>
              <w:ind w:hanging="556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Opción de elegir la Entidad Bancaria</w:t>
            </w:r>
            <w:r w:rsidR="006F6230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 que otorgará el financiamiento.</w:t>
            </w:r>
          </w:p>
          <w:p w14:paraId="437007D7" w14:textId="246A4B4B" w:rsidR="00D36581" w:rsidRPr="00D36581" w:rsidRDefault="00D36581" w:rsidP="00101CF4">
            <w:pPr>
              <w:shd w:val="clear" w:color="auto" w:fill="FFFFFF"/>
              <w:ind w:left="709"/>
              <w:jc w:val="both"/>
              <w:rPr>
                <w:rFonts w:ascii="Arial" w:eastAsia="Times New Roman" w:hAnsi="Arial" w:cs="Arial"/>
                <w:color w:val="333333"/>
                <w:sz w:val="10"/>
                <w:szCs w:val="10"/>
                <w:lang w:val="es-ES" w:eastAsia="es-GT"/>
              </w:rPr>
            </w:pPr>
          </w:p>
        </w:tc>
      </w:tr>
      <w:bookmarkEnd w:id="0"/>
    </w:tbl>
    <w:p w14:paraId="75226158" w14:textId="77777777" w:rsidR="00A348F0" w:rsidRPr="00A34CE3" w:rsidRDefault="00A348F0" w:rsidP="00A348F0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333333"/>
          <w:sz w:val="16"/>
          <w:szCs w:val="16"/>
          <w:lang w:val="es-ES" w:eastAsia="es-GT"/>
        </w:rPr>
      </w:pPr>
    </w:p>
    <w:p w14:paraId="7CA3B48B" w14:textId="31BFA4C9" w:rsidR="00A348F0" w:rsidRDefault="00A348F0" w:rsidP="00A348F0">
      <w:pPr>
        <w:spacing w:after="0" w:line="240" w:lineRule="auto"/>
        <w:jc w:val="both"/>
        <w:rPr>
          <w:rFonts w:ascii="Arial" w:hAnsi="Arial" w:cs="Arial"/>
          <w:b/>
          <w:bCs/>
          <w:color w:val="1F3864" w:themeColor="accent1" w:themeShade="80"/>
          <w:sz w:val="26"/>
          <w:szCs w:val="26"/>
          <w:lang w:val="es-ES"/>
        </w:rPr>
      </w:pPr>
      <w:r w:rsidRPr="00B727C5">
        <w:rPr>
          <w:rFonts w:ascii="Arial" w:hAnsi="Arial" w:cs="Arial"/>
          <w:b/>
          <w:bCs/>
          <w:color w:val="1F3864" w:themeColor="accent1" w:themeShade="80"/>
          <w:sz w:val="26"/>
          <w:szCs w:val="26"/>
          <w:lang w:val="es-ES"/>
        </w:rPr>
        <w:t>Requisitos principales:</w:t>
      </w:r>
    </w:p>
    <w:p w14:paraId="20218930" w14:textId="77777777" w:rsidR="00DE4F09" w:rsidRPr="00DE4F09" w:rsidRDefault="00DE4F09" w:rsidP="00A348F0">
      <w:pPr>
        <w:spacing w:after="0" w:line="240" w:lineRule="auto"/>
        <w:jc w:val="both"/>
        <w:rPr>
          <w:rFonts w:ascii="Arial" w:hAnsi="Arial" w:cs="Arial"/>
          <w:b/>
          <w:bCs/>
          <w:color w:val="1F3864" w:themeColor="accent1" w:themeShade="80"/>
          <w:sz w:val="10"/>
          <w:szCs w:val="10"/>
          <w:lang w:val="es-ES"/>
        </w:rPr>
      </w:pPr>
    </w:p>
    <w:tbl>
      <w:tblPr>
        <w:tblStyle w:val="Tablaconcuadrcula"/>
        <w:tblW w:w="9126" w:type="dxa"/>
        <w:tblLook w:val="04A0" w:firstRow="1" w:lastRow="0" w:firstColumn="1" w:lastColumn="0" w:noHBand="0" w:noVBand="1"/>
      </w:tblPr>
      <w:tblGrid>
        <w:gridCol w:w="9126"/>
      </w:tblGrid>
      <w:tr w:rsidR="00AA75B5" w14:paraId="25208FEF" w14:textId="77777777" w:rsidTr="008D357D">
        <w:trPr>
          <w:trHeight w:val="3112"/>
        </w:trPr>
        <w:tc>
          <w:tcPr>
            <w:tcW w:w="9126" w:type="dxa"/>
            <w:vAlign w:val="bottom"/>
          </w:tcPr>
          <w:p w14:paraId="34BE8F6F" w14:textId="47BF2C7C" w:rsidR="00AA75B5" w:rsidRPr="00D0576A" w:rsidRDefault="00AA75B5" w:rsidP="00AA75B5">
            <w:pPr>
              <w:pStyle w:val="Prrafodelista"/>
              <w:numPr>
                <w:ilvl w:val="0"/>
                <w:numId w:val="16"/>
              </w:numPr>
              <w:ind w:left="284" w:hanging="284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s-ES"/>
              </w:rPr>
            </w:pPr>
            <w:r w:rsidRPr="00D0576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s-ES"/>
              </w:rPr>
              <w:t>Solicit</w:t>
            </w:r>
            <w:r w:rsidR="00BE168E" w:rsidRPr="00D0576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s-ES"/>
              </w:rPr>
              <w:t>ud de</w:t>
            </w:r>
            <w:r w:rsidRPr="00D0576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s-ES"/>
              </w:rPr>
              <w:t xml:space="preserve"> Avalúo a FHA:</w:t>
            </w:r>
          </w:p>
          <w:p w14:paraId="0D91582A" w14:textId="77777777" w:rsidR="00AA75B5" w:rsidRPr="00CC3628" w:rsidRDefault="00AA75B5" w:rsidP="00AA75B5">
            <w:pPr>
              <w:pStyle w:val="Prrafodelista"/>
              <w:ind w:left="284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  <w:lang w:val="es-ES"/>
              </w:rPr>
            </w:pPr>
          </w:p>
          <w:p w14:paraId="1BEFF7A3" w14:textId="16E4938A" w:rsidR="00AA75B5" w:rsidRPr="0097120B" w:rsidRDefault="00BE168E" w:rsidP="00AA75B5">
            <w:pPr>
              <w:pStyle w:val="Prrafodelista"/>
              <w:numPr>
                <w:ilvl w:val="0"/>
                <w:numId w:val="17"/>
              </w:numPr>
              <w:spacing w:after="150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R</w:t>
            </w:r>
            <w:r w:rsidR="00AA75B5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ealizar la consulta para el avalúo del inmueble, remitiendo</w:t>
            </w:r>
            <w:r w:rsidR="00D0576A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 </w:t>
            </w:r>
            <w:r w:rsidR="00AA75B5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correo a:  </w:t>
            </w:r>
            <w:r w:rsidR="00AA75B5" w:rsidRPr="0097120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GT"/>
              </w:rPr>
              <w:t>consulta_avaluo@fha.gob.gt</w:t>
            </w:r>
            <w:r w:rsidR="00AA75B5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, incluyendo </w:t>
            </w:r>
            <w:r w:rsidR="00D0576A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la </w:t>
            </w:r>
            <w:r w:rsidR="00AA75B5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Dirección completa, fotos de la vivienda y calle de enfrente</w:t>
            </w:r>
            <w:r w:rsidR="00D0576A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,</w:t>
            </w:r>
            <w:r w:rsidR="00AA75B5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 y la ubicación por Google Maps (imagen de preferencia)</w:t>
            </w:r>
          </w:p>
          <w:p w14:paraId="5FFBDA6A" w14:textId="4182F551" w:rsidR="00AA75B5" w:rsidRPr="0097120B" w:rsidRDefault="00AA75B5" w:rsidP="00AA75B5">
            <w:pPr>
              <w:pStyle w:val="Prrafodelista"/>
              <w:numPr>
                <w:ilvl w:val="0"/>
                <w:numId w:val="17"/>
              </w:numPr>
              <w:spacing w:after="15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De salir favorable la consulta, se presenta</w:t>
            </w:r>
            <w:r w:rsidR="00D0576A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 la Solicitud de Avalúo</w:t>
            </w: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 en Oficinas de FHA, que se </w:t>
            </w:r>
            <w:r w:rsidR="0074476E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envía</w:t>
            </w: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 adjunta al correo</w:t>
            </w:r>
            <w:r w:rsidR="0074476E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, con la información requerida.</w:t>
            </w:r>
          </w:p>
          <w:p w14:paraId="5BF7092B" w14:textId="721F7F66" w:rsidR="00AA75B5" w:rsidRPr="0097120B" w:rsidRDefault="00D0576A" w:rsidP="00AA75B5">
            <w:pPr>
              <w:pStyle w:val="Prrafodelista"/>
              <w:numPr>
                <w:ilvl w:val="0"/>
                <w:numId w:val="17"/>
              </w:numPr>
              <w:spacing w:after="15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R</w:t>
            </w:r>
            <w:r w:rsidR="00AA75B5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ealiza</w:t>
            </w: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r</w:t>
            </w:r>
            <w:r w:rsidR="00AA75B5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 el pago del 2 por millar, sobre el precio de venta, al momento de presentar la Solicitud de Valuación. (multiplicar el precio de venta por 0.002)</w:t>
            </w:r>
            <w:r w:rsidR="00101CF4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.  Adicionalmente, se cobrarán viáticos </w:t>
            </w:r>
            <w:r w:rsidR="004A0C82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y combustible</w:t>
            </w:r>
            <w:r w:rsidR="00EF25AC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,</w:t>
            </w:r>
            <w:r w:rsidR="004A0C82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 </w:t>
            </w:r>
            <w:r w:rsidR="00101CF4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en zonas fuera del área metropolitana.</w:t>
            </w:r>
          </w:p>
          <w:p w14:paraId="38E78686" w14:textId="3A9B3892" w:rsidR="00CA7219" w:rsidRPr="00CA7219" w:rsidRDefault="00AA75B5" w:rsidP="00CA7219">
            <w:pPr>
              <w:pStyle w:val="Prrafodelista"/>
              <w:numPr>
                <w:ilvl w:val="0"/>
                <w:numId w:val="17"/>
              </w:numPr>
              <w:spacing w:after="150"/>
              <w:jc w:val="both"/>
              <w:rPr>
                <w:rFonts w:ascii="Arial" w:eastAsia="Times New Roman" w:hAnsi="Arial" w:cs="Arial"/>
                <w:lang w:val="es-ES" w:eastAsia="es-GT"/>
              </w:rPr>
            </w:pPr>
            <w:r w:rsidRPr="0097120B">
              <w:rPr>
                <w:rFonts w:ascii="Arial Narrow" w:eastAsiaTheme="minorEastAsia" w:hAnsi="Arial Narrow" w:cs="Arial"/>
                <w:kern w:val="24"/>
                <w:sz w:val="24"/>
                <w:szCs w:val="24"/>
              </w:rPr>
              <w:t>En base al avaluó que realiza FHA, se determinará el valor del resguardo o monto máximo a financiar por la Entidad Bancaria.</w:t>
            </w:r>
          </w:p>
        </w:tc>
      </w:tr>
      <w:tr w:rsidR="00AA75B5" w14:paraId="1F17B537" w14:textId="77777777" w:rsidTr="008D357D">
        <w:trPr>
          <w:trHeight w:val="1079"/>
        </w:trPr>
        <w:tc>
          <w:tcPr>
            <w:tcW w:w="9126" w:type="dxa"/>
            <w:vAlign w:val="bottom"/>
          </w:tcPr>
          <w:p w14:paraId="2AF8B497" w14:textId="77777777" w:rsidR="008D55BA" w:rsidRPr="008D55BA" w:rsidRDefault="008D55BA" w:rsidP="008D55BA">
            <w:pPr>
              <w:pStyle w:val="Prrafodelista"/>
              <w:ind w:left="284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  <w:lang w:val="es-ES"/>
              </w:rPr>
            </w:pPr>
          </w:p>
          <w:p w14:paraId="6B8FB1EE" w14:textId="124638AB" w:rsidR="00AA75B5" w:rsidRPr="00D0576A" w:rsidRDefault="00AA75B5" w:rsidP="00AA75B5">
            <w:pPr>
              <w:pStyle w:val="Prrafodelista"/>
              <w:numPr>
                <w:ilvl w:val="0"/>
                <w:numId w:val="16"/>
              </w:numPr>
              <w:ind w:left="284" w:hanging="284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s-ES"/>
              </w:rPr>
            </w:pPr>
            <w:r w:rsidRPr="00D0576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s-ES"/>
              </w:rPr>
              <w:t>Elegir la Entidad Bancaria y negociar las condiciones del crédito.</w:t>
            </w:r>
          </w:p>
          <w:p w14:paraId="02A9E516" w14:textId="2234CEBD" w:rsidR="00AA75B5" w:rsidRDefault="00AA75B5" w:rsidP="00AA75B5">
            <w:pPr>
              <w:pStyle w:val="Prrafodelista"/>
              <w:ind w:left="284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  <w:lang w:val="es-ES"/>
              </w:rPr>
            </w:pPr>
          </w:p>
          <w:p w14:paraId="4B6E8D43" w14:textId="0A44379A" w:rsidR="00AA75B5" w:rsidRPr="0097120B" w:rsidRDefault="00AA75B5" w:rsidP="00AA75B5">
            <w:pPr>
              <w:pStyle w:val="Prrafodelista"/>
              <w:numPr>
                <w:ilvl w:val="0"/>
                <w:numId w:val="20"/>
              </w:numPr>
              <w:ind w:left="567" w:hanging="283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120B">
              <w:rPr>
                <w:rFonts w:ascii="Arial Narrow" w:hAnsi="Arial Narrow" w:cs="Arial"/>
                <w:sz w:val="24"/>
                <w:szCs w:val="24"/>
              </w:rPr>
              <w:t>Carta de la Entidad Bancaria</w:t>
            </w:r>
            <w:r w:rsidR="00D0576A" w:rsidRPr="0097120B">
              <w:rPr>
                <w:rFonts w:ascii="Arial Narrow" w:hAnsi="Arial Narrow" w:cs="Arial"/>
                <w:sz w:val="24"/>
                <w:szCs w:val="24"/>
              </w:rPr>
              <w:t xml:space="preserve"> que otorgará el financiamiento, </w:t>
            </w:r>
            <w:r w:rsidRPr="0097120B">
              <w:rPr>
                <w:rFonts w:ascii="Arial Narrow" w:hAnsi="Arial Narrow" w:cs="Arial"/>
                <w:sz w:val="24"/>
                <w:szCs w:val="24"/>
              </w:rPr>
              <w:t>indicando las condiciones bajos las cuales se atenderá el crédito con emisión cedularia.</w:t>
            </w:r>
          </w:p>
          <w:p w14:paraId="5BF9F422" w14:textId="2E1DE1DC" w:rsidR="00A34CE3" w:rsidRPr="00CC3628" w:rsidRDefault="00A34CE3" w:rsidP="00A34CE3">
            <w:pPr>
              <w:pStyle w:val="Prrafodelista"/>
              <w:ind w:left="567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A75B5" w14:paraId="51CF7409" w14:textId="77777777" w:rsidTr="008D357D">
        <w:trPr>
          <w:trHeight w:val="1324"/>
        </w:trPr>
        <w:tc>
          <w:tcPr>
            <w:tcW w:w="9126" w:type="dxa"/>
            <w:vAlign w:val="bottom"/>
          </w:tcPr>
          <w:p w14:paraId="7567E9E2" w14:textId="77777777" w:rsidR="008D55BA" w:rsidRPr="008D55BA" w:rsidRDefault="008D55BA" w:rsidP="008D55BA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</w:rPr>
            </w:pPr>
          </w:p>
          <w:p w14:paraId="1EA34E1F" w14:textId="19F8B5EC" w:rsidR="00AA75B5" w:rsidRPr="00A348F0" w:rsidRDefault="00AA75B5" w:rsidP="00AA75B5">
            <w:pPr>
              <w:pStyle w:val="NormalWeb"/>
              <w:numPr>
                <w:ilvl w:val="0"/>
                <w:numId w:val="16"/>
              </w:numPr>
              <w:kinsoku w:val="0"/>
              <w:overflowPunct w:val="0"/>
              <w:spacing w:before="0" w:beforeAutospacing="0" w:after="0" w:afterAutospacing="0"/>
              <w:ind w:left="284" w:hanging="284"/>
              <w:textAlignment w:val="baseline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B93AFC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t>Completar el expediente</w:t>
            </w:r>
            <w:r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t>:</w:t>
            </w:r>
          </w:p>
          <w:p w14:paraId="79F8AE5C" w14:textId="77777777" w:rsidR="00AA75B5" w:rsidRPr="008D55BA" w:rsidRDefault="00AA75B5" w:rsidP="00AA75B5">
            <w:pPr>
              <w:pStyle w:val="NormalWeb"/>
              <w:kinsoku w:val="0"/>
              <w:overflowPunct w:val="0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</w:rPr>
            </w:pPr>
          </w:p>
          <w:p w14:paraId="5445FAFA" w14:textId="77777777" w:rsidR="00AA75B5" w:rsidRPr="00CE1E47" w:rsidRDefault="00AA75B5" w:rsidP="00AA75B5">
            <w:pPr>
              <w:pStyle w:val="NormalWeb"/>
              <w:numPr>
                <w:ilvl w:val="0"/>
                <w:numId w:val="24"/>
              </w:numPr>
              <w:kinsoku w:val="0"/>
              <w:overflowPunct w:val="0"/>
              <w:spacing w:before="0" w:beforeAutospacing="0" w:after="0" w:afterAutospacing="0"/>
              <w:ind w:left="426" w:hanging="142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  <w:color w:val="1F3864" w:themeColor="accent1" w:themeShade="80"/>
                <w:sz w:val="22"/>
                <w:szCs w:val="22"/>
                <w:u w:val="single"/>
              </w:rPr>
            </w:pPr>
            <w:r w:rsidRPr="0097120B">
              <w:rPr>
                <w:rFonts w:ascii="Arial Narrow" w:eastAsiaTheme="minorEastAsia" w:hAnsi="Arial Narrow" w:cs="Arial"/>
                <w:color w:val="000000" w:themeColor="text1"/>
                <w:kern w:val="24"/>
              </w:rPr>
              <w:t>Los formularios para la solicitud, se encuentran en el link:</w:t>
            </w:r>
            <w:r w:rsidRPr="00B62ACE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CE1E47">
              <w:rPr>
                <w:rFonts w:ascii="Arial" w:eastAsiaTheme="minorEastAsia" w:hAnsi="Arial" w:cs="Arial"/>
                <w:b/>
                <w:bCs/>
                <w:i/>
                <w:iCs/>
                <w:color w:val="1F3864" w:themeColor="accent1" w:themeShade="80"/>
                <w:kern w:val="24"/>
                <w:sz w:val="22"/>
                <w:szCs w:val="22"/>
                <w:u w:val="single"/>
              </w:rPr>
              <w:t>Compradores de Viviendas -FHA</w:t>
            </w:r>
          </w:p>
          <w:p w14:paraId="1BBA36E4" w14:textId="77777777" w:rsidR="00AA75B5" w:rsidRPr="006E2BED" w:rsidRDefault="00AA75B5" w:rsidP="00AA75B5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D89C26" w14:textId="77777777" w:rsidR="00AA75B5" w:rsidRPr="00B93AFC" w:rsidRDefault="00AA75B5" w:rsidP="00AA75B5">
            <w:pPr>
              <w:pStyle w:val="Prrafodelista"/>
              <w:numPr>
                <w:ilvl w:val="0"/>
                <w:numId w:val="8"/>
              </w:numPr>
              <w:ind w:left="709" w:hanging="283"/>
              <w:jc w:val="both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24"/>
                <w:szCs w:val="24"/>
              </w:rPr>
            </w:pPr>
            <w:r w:rsidRPr="00B93AFC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24"/>
                <w:szCs w:val="24"/>
              </w:rPr>
              <w:t>Ingreso de expediente a FHA:</w:t>
            </w:r>
          </w:p>
          <w:p w14:paraId="7DEB370A" w14:textId="77777777" w:rsidR="00AA75B5" w:rsidRPr="0097120B" w:rsidRDefault="00AA75B5" w:rsidP="00AA75B5">
            <w:pPr>
              <w:pStyle w:val="Prrafodelista"/>
              <w:ind w:left="851" w:hanging="284"/>
              <w:jc w:val="both"/>
              <w:rPr>
                <w:rFonts w:ascii="Arial Narrow" w:eastAsiaTheme="minorEastAsia" w:hAnsi="Arial Narrow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  <w:p w14:paraId="43AB87A6" w14:textId="77777777" w:rsidR="00AA75B5" w:rsidRPr="0097120B" w:rsidRDefault="00AA75B5" w:rsidP="00DB5607">
            <w:pPr>
              <w:pStyle w:val="Prrafodelista"/>
              <w:numPr>
                <w:ilvl w:val="0"/>
                <w:numId w:val="27"/>
              </w:numPr>
              <w:ind w:left="1014" w:hanging="283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120B">
              <w:rPr>
                <w:rFonts w:ascii="Arial Narrow" w:hAnsi="Arial Narrow" w:cs="Arial"/>
                <w:sz w:val="24"/>
                <w:szCs w:val="24"/>
              </w:rPr>
              <w:t>Recepción y revisión del expediente en Servicio al Cliente, según Checklist. (Adjunto)</w:t>
            </w:r>
          </w:p>
          <w:p w14:paraId="5A393965" w14:textId="310FEE50" w:rsidR="0097120B" w:rsidRDefault="00A34CE3" w:rsidP="00DB5607">
            <w:pPr>
              <w:pStyle w:val="Prrafodelista"/>
              <w:numPr>
                <w:ilvl w:val="0"/>
                <w:numId w:val="27"/>
              </w:numPr>
              <w:ind w:left="1014" w:hanging="283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120B">
              <w:rPr>
                <w:rFonts w:ascii="Arial Narrow" w:hAnsi="Arial Narrow" w:cs="Arial"/>
                <w:sz w:val="24"/>
                <w:szCs w:val="24"/>
              </w:rPr>
              <w:t xml:space="preserve">Realizar el pago de Derechos de Solicitud, el </w:t>
            </w:r>
            <w:r w:rsidR="0003688C" w:rsidRPr="0097120B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97120B">
              <w:rPr>
                <w:rFonts w:ascii="Arial Narrow" w:hAnsi="Arial Narrow" w:cs="Arial"/>
                <w:sz w:val="24"/>
                <w:szCs w:val="24"/>
              </w:rPr>
              <w:t xml:space="preserve"> por millar sobre el monto del financiamiento. (A este valor se debe restar el valor que se pagó al solicitar el Avalúo).</w:t>
            </w:r>
          </w:p>
          <w:p w14:paraId="4B364A5B" w14:textId="77777777" w:rsidR="0097120B" w:rsidRPr="0097120B" w:rsidRDefault="0097120B" w:rsidP="0097120B">
            <w:pPr>
              <w:pStyle w:val="Prrafodelista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68087CCB" w14:textId="04555F64" w:rsidR="00A34CE3" w:rsidRPr="0097120B" w:rsidRDefault="00A34CE3" w:rsidP="00DB5607">
            <w:pPr>
              <w:pStyle w:val="Prrafodelista"/>
              <w:numPr>
                <w:ilvl w:val="0"/>
                <w:numId w:val="27"/>
              </w:numPr>
              <w:ind w:left="1156" w:hanging="283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120B">
              <w:rPr>
                <w:rFonts w:ascii="Arial Narrow" w:hAnsi="Arial Narrow" w:cs="Arial"/>
                <w:sz w:val="24"/>
                <w:szCs w:val="24"/>
              </w:rPr>
              <w:lastRenderedPageBreak/>
              <w:t>Ingresar la Solicitud de Resguardo de Asegurabilidad al Departamento Gestión de Expedientes, para verificar que la documentación y/o información est</w:t>
            </w:r>
            <w:r w:rsidR="00260F3B" w:rsidRPr="0097120B">
              <w:rPr>
                <w:rFonts w:ascii="Arial Narrow" w:hAnsi="Arial Narrow" w:cs="Arial"/>
                <w:sz w:val="24"/>
                <w:szCs w:val="24"/>
              </w:rPr>
              <w:t>é</w:t>
            </w:r>
            <w:r w:rsidRPr="0097120B">
              <w:rPr>
                <w:rFonts w:ascii="Arial Narrow" w:hAnsi="Arial Narrow" w:cs="Arial"/>
                <w:sz w:val="24"/>
                <w:szCs w:val="24"/>
              </w:rPr>
              <w:t xml:space="preserve"> correcta</w:t>
            </w:r>
            <w:r w:rsidR="00BE39CF" w:rsidRPr="0097120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E64B4" w:rsidRPr="0097120B">
              <w:rPr>
                <w:rFonts w:ascii="Arial Narrow" w:hAnsi="Arial Narrow" w:cs="Arial"/>
                <w:sz w:val="24"/>
                <w:szCs w:val="24"/>
              </w:rPr>
              <w:t xml:space="preserve">y/o completa, </w:t>
            </w:r>
            <w:r w:rsidR="00BE39CF" w:rsidRPr="0097120B"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97120B">
              <w:rPr>
                <w:rFonts w:ascii="Arial Narrow" w:hAnsi="Arial Narrow" w:cs="Arial"/>
                <w:sz w:val="24"/>
                <w:szCs w:val="24"/>
              </w:rPr>
              <w:t xml:space="preserve"> ingreso del caso al sistema. </w:t>
            </w:r>
          </w:p>
          <w:p w14:paraId="7BC76FBE" w14:textId="6FD61918" w:rsidR="00AA75B5" w:rsidRDefault="007E5622" w:rsidP="00DB5607">
            <w:pPr>
              <w:pStyle w:val="Prrafodelista"/>
              <w:numPr>
                <w:ilvl w:val="0"/>
                <w:numId w:val="27"/>
              </w:numPr>
              <w:ind w:left="1156" w:hanging="283"/>
              <w:jc w:val="both"/>
              <w:rPr>
                <w:rFonts w:ascii="Arial" w:hAnsi="Arial" w:cs="Arial"/>
              </w:rPr>
            </w:pPr>
            <w:r w:rsidRPr="0097120B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A34CE3" w:rsidRPr="0097120B">
              <w:rPr>
                <w:rFonts w:ascii="Arial Narrow" w:hAnsi="Arial Narrow" w:cs="Arial"/>
                <w:sz w:val="24"/>
                <w:szCs w:val="24"/>
              </w:rPr>
              <w:t xml:space="preserve">a División de Análisis de Seguros, </w:t>
            </w:r>
            <w:r w:rsidRPr="0097120B">
              <w:rPr>
                <w:rFonts w:ascii="Arial Narrow" w:hAnsi="Arial Narrow" w:cs="Arial"/>
                <w:sz w:val="24"/>
                <w:szCs w:val="24"/>
              </w:rPr>
              <w:t xml:space="preserve">realiza el </w:t>
            </w:r>
            <w:r w:rsidR="00087E20" w:rsidRPr="0097120B">
              <w:rPr>
                <w:rFonts w:ascii="Arial Narrow" w:hAnsi="Arial Narrow" w:cs="Arial"/>
                <w:sz w:val="24"/>
                <w:szCs w:val="24"/>
              </w:rPr>
              <w:t xml:space="preserve">correspondiente </w:t>
            </w:r>
            <w:r w:rsidR="00A34CE3" w:rsidRPr="0097120B">
              <w:rPr>
                <w:rFonts w:ascii="Arial Narrow" w:hAnsi="Arial Narrow" w:cs="Arial"/>
                <w:sz w:val="24"/>
                <w:szCs w:val="24"/>
              </w:rPr>
              <w:t>análisis de capacidad de pago</w:t>
            </w:r>
            <w:r w:rsidR="00087E20" w:rsidRPr="0097120B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087E20">
              <w:rPr>
                <w:rFonts w:ascii="Arial" w:hAnsi="Arial" w:cs="Arial"/>
              </w:rPr>
              <w:t xml:space="preserve"> </w:t>
            </w:r>
          </w:p>
          <w:p w14:paraId="038DA8AE" w14:textId="5EC615D0" w:rsidR="00CA7219" w:rsidRPr="00CA7219" w:rsidRDefault="00CA7219" w:rsidP="00DB5607">
            <w:pPr>
              <w:pStyle w:val="Prrafodelista"/>
              <w:numPr>
                <w:ilvl w:val="0"/>
                <w:numId w:val="27"/>
              </w:numPr>
              <w:ind w:left="1156" w:hanging="283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A7219">
              <w:rPr>
                <w:rFonts w:ascii="Arial Narrow" w:hAnsi="Arial Narrow" w:cs="Arial"/>
                <w:sz w:val="24"/>
                <w:szCs w:val="24"/>
              </w:rPr>
              <w:t xml:space="preserve">Completar la </w:t>
            </w:r>
            <w:r>
              <w:rPr>
                <w:rFonts w:ascii="Arial Narrow" w:hAnsi="Arial Narrow" w:cs="Arial"/>
                <w:sz w:val="24"/>
                <w:szCs w:val="24"/>
              </w:rPr>
              <w:t>documentación</w:t>
            </w:r>
            <w:r w:rsidRPr="00CA7219">
              <w:rPr>
                <w:rFonts w:ascii="Arial Narrow" w:hAnsi="Arial Narrow" w:cs="Arial"/>
                <w:sz w:val="24"/>
                <w:szCs w:val="24"/>
              </w:rPr>
              <w:t xml:space="preserve"> técnica requerida por la División de Análisis Inmobiliario</w:t>
            </w:r>
            <w:r w:rsidR="000C1460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207F6196" w14:textId="38039066" w:rsidR="0005385E" w:rsidRPr="0005385E" w:rsidRDefault="0005385E" w:rsidP="0005385E">
            <w:pPr>
              <w:pStyle w:val="Prrafodelista"/>
              <w:ind w:left="1156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34CE3" w14:paraId="54646C8A" w14:textId="77777777" w:rsidTr="00DB5607">
        <w:trPr>
          <w:trHeight w:val="1110"/>
        </w:trPr>
        <w:tc>
          <w:tcPr>
            <w:tcW w:w="9126" w:type="dxa"/>
            <w:vAlign w:val="bottom"/>
          </w:tcPr>
          <w:p w14:paraId="3D0E25F4" w14:textId="2AD7DFAE" w:rsidR="00A34CE3" w:rsidRPr="00FE3C99" w:rsidRDefault="00A34CE3" w:rsidP="0097120B">
            <w:pPr>
              <w:pStyle w:val="NormalWeb"/>
              <w:numPr>
                <w:ilvl w:val="0"/>
                <w:numId w:val="8"/>
              </w:numPr>
              <w:kinsoku w:val="0"/>
              <w:overflowPunct w:val="0"/>
              <w:spacing w:before="0" w:beforeAutospacing="0" w:after="0" w:afterAutospacing="0"/>
              <w:ind w:left="731" w:hanging="284"/>
              <w:textAlignment w:val="baseline"/>
              <w:rPr>
                <w:rFonts w:ascii="Arial" w:hAnsi="Arial" w:cs="Arial"/>
              </w:rPr>
            </w:pPr>
            <w:r w:rsidRPr="00FE3C99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lastRenderedPageBreak/>
              <w:t>Tiempos de respuesta:</w:t>
            </w:r>
          </w:p>
          <w:p w14:paraId="62D2CC0B" w14:textId="77777777" w:rsidR="00A34CE3" w:rsidRPr="00CC3628" w:rsidRDefault="00A34CE3" w:rsidP="00A34CE3">
            <w:pPr>
              <w:pStyle w:val="NormalWeb"/>
              <w:kinsoku w:val="0"/>
              <w:overflowPunct w:val="0"/>
              <w:spacing w:before="0" w:beforeAutospacing="0" w:after="0" w:afterAutospacing="0"/>
              <w:ind w:left="851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4BEAA9FF" w14:textId="77777777" w:rsidR="00A34CE3" w:rsidRPr="0097120B" w:rsidRDefault="00A34CE3" w:rsidP="0097120B">
            <w:pPr>
              <w:pStyle w:val="NormalWeb"/>
              <w:numPr>
                <w:ilvl w:val="0"/>
                <w:numId w:val="9"/>
              </w:numPr>
              <w:kinsoku w:val="0"/>
              <w:overflowPunct w:val="0"/>
              <w:spacing w:before="0" w:beforeAutospacing="0" w:after="0" w:afterAutospacing="0"/>
              <w:ind w:left="1014" w:hanging="283"/>
              <w:jc w:val="both"/>
              <w:textAlignment w:val="baseline"/>
              <w:rPr>
                <w:rFonts w:ascii="Arial Narrow" w:hAnsi="Arial Narrow" w:cs="Arial"/>
              </w:rPr>
            </w:pPr>
            <w:r w:rsidRPr="0097120B">
              <w:rPr>
                <w:rFonts w:ascii="Arial Narrow" w:eastAsiaTheme="minorEastAsia" w:hAnsi="Arial Narrow" w:cs="Arial"/>
                <w:kern w:val="24"/>
              </w:rPr>
              <w:t>2 días con el Departamento de Gestión de Expedientes.</w:t>
            </w:r>
          </w:p>
          <w:p w14:paraId="0FB66E2E" w14:textId="77777777" w:rsidR="00A34CE3" w:rsidRPr="0097120B" w:rsidRDefault="00A34CE3" w:rsidP="0097120B">
            <w:pPr>
              <w:pStyle w:val="NormalWeb"/>
              <w:numPr>
                <w:ilvl w:val="0"/>
                <w:numId w:val="9"/>
              </w:numPr>
              <w:kinsoku w:val="0"/>
              <w:overflowPunct w:val="0"/>
              <w:spacing w:before="0" w:beforeAutospacing="0" w:after="0" w:afterAutospacing="0"/>
              <w:ind w:left="1014" w:hanging="283"/>
              <w:jc w:val="both"/>
              <w:textAlignment w:val="baseline"/>
              <w:rPr>
                <w:rFonts w:ascii="Arial Narrow" w:eastAsiaTheme="minorEastAsia" w:hAnsi="Arial Narrow" w:cs="Arial"/>
                <w:kern w:val="24"/>
              </w:rPr>
            </w:pPr>
            <w:r w:rsidRPr="0097120B">
              <w:rPr>
                <w:rFonts w:ascii="Arial Narrow" w:eastAsiaTheme="minorEastAsia" w:hAnsi="Arial Narrow" w:cs="Arial"/>
                <w:kern w:val="24"/>
              </w:rPr>
              <w:t>5 días con el Departamento de Análisis de Seguros y División de Análisis Inmobiliario.</w:t>
            </w:r>
          </w:p>
          <w:p w14:paraId="72AF9141" w14:textId="605DF615" w:rsidR="00A34CE3" w:rsidRPr="00CC3628" w:rsidRDefault="00A34CE3" w:rsidP="00A34CE3">
            <w:pPr>
              <w:pStyle w:val="NormalWeb"/>
              <w:kinsoku w:val="0"/>
              <w:overflowPunct w:val="0"/>
              <w:spacing w:before="0" w:beforeAutospacing="0" w:after="0" w:afterAutospacing="0"/>
              <w:ind w:left="1560"/>
              <w:jc w:val="both"/>
              <w:textAlignment w:val="baseline"/>
              <w:rPr>
                <w:rFonts w:ascii="Arial" w:eastAsiaTheme="minorEastAsia" w:hAnsi="Arial" w:cs="Arial"/>
                <w:kern w:val="24"/>
                <w:sz w:val="10"/>
                <w:szCs w:val="10"/>
              </w:rPr>
            </w:pPr>
          </w:p>
        </w:tc>
      </w:tr>
      <w:tr w:rsidR="00A34CE3" w14:paraId="6E41A220" w14:textId="77777777" w:rsidTr="008D357D">
        <w:trPr>
          <w:trHeight w:val="1079"/>
        </w:trPr>
        <w:tc>
          <w:tcPr>
            <w:tcW w:w="9126" w:type="dxa"/>
            <w:vAlign w:val="bottom"/>
          </w:tcPr>
          <w:p w14:paraId="25890E67" w14:textId="77777777" w:rsidR="008E314D" w:rsidRPr="008E314D" w:rsidRDefault="008E314D" w:rsidP="008E314D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  <w:p w14:paraId="5BC4221F" w14:textId="6E4D4626" w:rsidR="00A34CE3" w:rsidRDefault="00A34CE3" w:rsidP="00A34CE3">
            <w:pPr>
              <w:pStyle w:val="NormalWeb"/>
              <w:numPr>
                <w:ilvl w:val="0"/>
                <w:numId w:val="16"/>
              </w:numPr>
              <w:kinsoku w:val="0"/>
              <w:overflowPunct w:val="0"/>
              <w:spacing w:before="0" w:beforeAutospacing="0" w:after="0" w:afterAutospacing="0"/>
              <w:ind w:left="284" w:hanging="28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</w:pPr>
            <w:r w:rsidRPr="00B93AFC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t>Aprobación de Solicitud de Resguardo de Asegurabilidad</w:t>
            </w:r>
            <w:r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t>:</w:t>
            </w:r>
          </w:p>
          <w:p w14:paraId="0E5DDE6D" w14:textId="77777777" w:rsidR="00A34CE3" w:rsidRPr="00CC3628" w:rsidRDefault="00A34CE3" w:rsidP="00A34CE3">
            <w:pPr>
              <w:pStyle w:val="NormalWeb"/>
              <w:kinsoku w:val="0"/>
              <w:overflowPunct w:val="0"/>
              <w:spacing w:before="0" w:beforeAutospacing="0" w:after="0" w:afterAutospacing="0"/>
              <w:ind w:left="284" w:hanging="28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  <w:p w14:paraId="76B6AEAC" w14:textId="77777777" w:rsidR="00A34CE3" w:rsidRDefault="00A34CE3" w:rsidP="00A34CE3">
            <w:pPr>
              <w:pStyle w:val="NormalWeb"/>
              <w:numPr>
                <w:ilvl w:val="0"/>
                <w:numId w:val="10"/>
              </w:numPr>
              <w:kinsoku w:val="0"/>
              <w:overflowPunct w:val="0"/>
              <w:spacing w:before="0" w:beforeAutospacing="0" w:after="0" w:afterAutospacing="0"/>
              <w:ind w:left="567" w:hanging="283"/>
              <w:jc w:val="both"/>
              <w:textAlignment w:val="baseline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97120B">
              <w:rPr>
                <w:rFonts w:ascii="Arial Narrow" w:eastAsiaTheme="minorEastAsia" w:hAnsi="Arial Narrow" w:cs="Arial"/>
                <w:kern w:val="24"/>
              </w:rPr>
              <w:t>Al cumplir el expediente con todos los requisitos y contar con las aprobaciones necesarias, se emite el Resguardo de Asegurabilidad y se envía con una Nota a la Entidad Bancaria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.</w:t>
            </w:r>
          </w:p>
          <w:p w14:paraId="6AD0FB32" w14:textId="68E6BB92" w:rsidR="00E16315" w:rsidRPr="00CC3628" w:rsidRDefault="00E16315" w:rsidP="00E16315">
            <w:pPr>
              <w:pStyle w:val="NormalWeb"/>
              <w:kinsoku w:val="0"/>
              <w:overflowPunct w:val="0"/>
              <w:spacing w:before="0" w:beforeAutospacing="0" w:after="0" w:afterAutospacing="0"/>
              <w:ind w:left="567"/>
              <w:jc w:val="both"/>
              <w:textAlignment w:val="baseline"/>
              <w:rPr>
                <w:rFonts w:ascii="Arial" w:eastAsiaTheme="minorEastAsia" w:hAnsi="Arial" w:cs="Arial"/>
                <w:kern w:val="24"/>
                <w:sz w:val="10"/>
                <w:szCs w:val="10"/>
              </w:rPr>
            </w:pPr>
          </w:p>
        </w:tc>
      </w:tr>
      <w:tr w:rsidR="00A34CE3" w14:paraId="286AC2B5" w14:textId="77777777" w:rsidTr="008D357D">
        <w:trPr>
          <w:trHeight w:val="1079"/>
        </w:trPr>
        <w:tc>
          <w:tcPr>
            <w:tcW w:w="9126" w:type="dxa"/>
            <w:vAlign w:val="bottom"/>
          </w:tcPr>
          <w:p w14:paraId="3BFAF424" w14:textId="77777777" w:rsidR="008E314D" w:rsidRPr="008E314D" w:rsidRDefault="008E314D" w:rsidP="008E314D">
            <w:pPr>
              <w:pStyle w:val="Prrafodelista"/>
              <w:shd w:val="clear" w:color="auto" w:fill="FFFFFF"/>
              <w:ind w:left="284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0"/>
                <w:szCs w:val="10"/>
                <w:lang w:val="es-ES" w:eastAsia="es-GT"/>
              </w:rPr>
            </w:pPr>
          </w:p>
          <w:p w14:paraId="16ADB820" w14:textId="15FA3CCB" w:rsidR="00A34CE3" w:rsidRPr="002E60EE" w:rsidRDefault="00A34CE3" w:rsidP="00A34CE3">
            <w:pPr>
              <w:pStyle w:val="Prrafodelista"/>
              <w:numPr>
                <w:ilvl w:val="0"/>
                <w:numId w:val="16"/>
              </w:numPr>
              <w:shd w:val="clear" w:color="auto" w:fill="FFFFFF"/>
              <w:ind w:left="284" w:hanging="284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</w:pPr>
            <w:r w:rsidRPr="002E60EE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  <w:t>Pagos a realizarse en FHA:</w:t>
            </w:r>
          </w:p>
          <w:p w14:paraId="217D5E72" w14:textId="77777777" w:rsidR="00A34CE3" w:rsidRPr="007C1778" w:rsidRDefault="00A34CE3" w:rsidP="00A34CE3">
            <w:pPr>
              <w:shd w:val="clear" w:color="auto" w:fill="FFFFFF"/>
              <w:ind w:left="284" w:hanging="284"/>
              <w:jc w:val="both"/>
              <w:outlineLvl w:val="2"/>
              <w:rPr>
                <w:rFonts w:ascii="inherit" w:eastAsia="Times New Roman" w:hAnsi="inherit" w:cs="Open Sans"/>
                <w:color w:val="333333"/>
                <w:sz w:val="10"/>
                <w:szCs w:val="10"/>
                <w:lang w:val="es-ES" w:eastAsia="es-GT"/>
              </w:rPr>
            </w:pPr>
          </w:p>
          <w:p w14:paraId="619D0571" w14:textId="0BE6657C" w:rsidR="00A34CE3" w:rsidRPr="0097120B" w:rsidRDefault="00A34CE3" w:rsidP="00DB5607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 xml:space="preserve">Pago del 2 por millar </w:t>
            </w:r>
            <w:r w:rsidR="007C1778" w:rsidRPr="0097120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>por</w:t>
            </w:r>
            <w:r w:rsidRPr="0097120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 xml:space="preserve"> el Avalúo: </w:t>
            </w: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se deberá cancelar </w:t>
            </w:r>
            <w:r w:rsidR="001A32E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con</w:t>
            </w: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 cheque de caja en oficinas FHA, al momento de presentar </w:t>
            </w:r>
            <w:r w:rsidR="007C1778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la S</w:t>
            </w: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olicitud de </w:t>
            </w:r>
            <w:r w:rsidR="007C1778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V</w:t>
            </w: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aluación y corresponde a la visita que se realizará al inmueble. </w:t>
            </w:r>
          </w:p>
          <w:p w14:paraId="5FE6AB92" w14:textId="0F14E96E" w:rsidR="00A34CE3" w:rsidRPr="0097120B" w:rsidRDefault="00A34CE3" w:rsidP="00A34CE3">
            <w:pPr>
              <w:shd w:val="clear" w:color="auto" w:fill="FFFFFF"/>
              <w:ind w:left="495"/>
              <w:jc w:val="both"/>
              <w:rPr>
                <w:rFonts w:ascii="Arial Narrow" w:eastAsia="Times New Roman" w:hAnsi="Arial Narrow" w:cs="Arial"/>
                <w:color w:val="333333"/>
                <w:sz w:val="10"/>
                <w:szCs w:val="10"/>
                <w:lang w:val="es-ES" w:eastAsia="es-GT"/>
              </w:rPr>
            </w:pPr>
          </w:p>
          <w:p w14:paraId="1FD568F8" w14:textId="6A5B66D5" w:rsidR="00A34CE3" w:rsidRPr="0097120B" w:rsidRDefault="00A34CE3" w:rsidP="00DB5607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>Pago del 3 por millar p</w:t>
            </w:r>
            <w:r w:rsidR="007C1778" w:rsidRPr="0097120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>or</w:t>
            </w:r>
            <w:r w:rsidRPr="0097120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 xml:space="preserve"> el análisis </w:t>
            </w:r>
            <w:r w:rsidR="007C1778" w:rsidRPr="0097120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 xml:space="preserve">de capacidad de pago </w:t>
            </w:r>
            <w:r w:rsidRPr="0097120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>del caso:</w:t>
            </w: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 se deberá cancelar </w:t>
            </w:r>
            <w:r w:rsidR="001A32E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con</w:t>
            </w: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 cheque de caja en oficinas FHA, al momento de presentar su expediente y corresponde al análisis que se realizará por parte de FHA. </w:t>
            </w:r>
          </w:p>
          <w:p w14:paraId="607CA249" w14:textId="0143C47C" w:rsidR="00A34CE3" w:rsidRPr="00CC3628" w:rsidRDefault="00A34CE3" w:rsidP="00A34CE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10"/>
                <w:szCs w:val="10"/>
                <w:lang w:val="es-ES" w:eastAsia="es-GT"/>
              </w:rPr>
            </w:pPr>
          </w:p>
        </w:tc>
      </w:tr>
      <w:tr w:rsidR="00A34CE3" w14:paraId="5F22D1CA" w14:textId="77777777" w:rsidTr="008D357D">
        <w:trPr>
          <w:trHeight w:val="1079"/>
        </w:trPr>
        <w:tc>
          <w:tcPr>
            <w:tcW w:w="9126" w:type="dxa"/>
            <w:vAlign w:val="bottom"/>
          </w:tcPr>
          <w:p w14:paraId="0CC28A9F" w14:textId="77777777" w:rsidR="008E314D" w:rsidRPr="008E314D" w:rsidRDefault="008E314D" w:rsidP="008E314D">
            <w:pPr>
              <w:pStyle w:val="Prrafodelista"/>
              <w:ind w:left="284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0"/>
                <w:szCs w:val="10"/>
                <w:lang w:val="es-ES" w:eastAsia="es-GT"/>
              </w:rPr>
            </w:pPr>
          </w:p>
          <w:p w14:paraId="4EB208F4" w14:textId="2574CBFE" w:rsidR="00A34CE3" w:rsidRDefault="00A34CE3" w:rsidP="00A34CE3">
            <w:pPr>
              <w:pStyle w:val="Prrafodelista"/>
              <w:numPr>
                <w:ilvl w:val="0"/>
                <w:numId w:val="16"/>
              </w:numPr>
              <w:ind w:left="284" w:hanging="284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  <w:t>P</w:t>
            </w:r>
            <w:r w:rsidRPr="00020BF7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  <w:t xml:space="preserve">agos </w:t>
            </w: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  <w:t xml:space="preserve">a </w:t>
            </w:r>
            <w:r w:rsidRPr="00020BF7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  <w:t xml:space="preserve">la Entidad </w:t>
            </w: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  <w:t xml:space="preserve">Bancaria </w:t>
            </w:r>
            <w:r w:rsidRPr="00020BF7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  <w:t>durante el proceso de escrituración y desembolso</w:t>
            </w: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  <w:t>:</w:t>
            </w:r>
          </w:p>
          <w:p w14:paraId="1F0E5C73" w14:textId="77777777" w:rsidR="00A34CE3" w:rsidRPr="00CC3628" w:rsidRDefault="00A34CE3" w:rsidP="00A34CE3">
            <w:pPr>
              <w:pStyle w:val="Prrafodelista"/>
              <w:ind w:left="284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0"/>
                <w:szCs w:val="10"/>
                <w:lang w:val="es-ES" w:eastAsia="es-GT"/>
              </w:rPr>
            </w:pPr>
          </w:p>
          <w:p w14:paraId="04FD5929" w14:textId="77777777" w:rsidR="00A34CE3" w:rsidRPr="0097120B" w:rsidRDefault="00A34CE3" w:rsidP="00A34CE3">
            <w:pPr>
              <w:numPr>
                <w:ilvl w:val="0"/>
                <w:numId w:val="13"/>
              </w:numPr>
              <w:tabs>
                <w:tab w:val="clear" w:pos="720"/>
                <w:tab w:val="num" w:pos="709"/>
              </w:tabs>
              <w:ind w:left="709" w:hanging="425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>Gastos de escrituración:</w:t>
            </w:r>
            <w:r w:rsidRPr="0097120B">
              <w:rPr>
                <w:rFonts w:ascii="Arial Narrow" w:eastAsia="Times New Roman" w:hAnsi="Arial Narrow" w:cs="Helvetica"/>
                <w:color w:val="000000"/>
                <w:sz w:val="24"/>
                <w:szCs w:val="24"/>
                <w:lang w:val="es-ES" w:eastAsia="es-GT"/>
              </w:rPr>
              <w:t xml:space="preserve"> Corresponden a los honorarios del abogado que realizará </w:t>
            </w: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la escritura y los gastos del Registro General de La Propiedad por la inscripción.</w:t>
            </w:r>
          </w:p>
          <w:p w14:paraId="065221E9" w14:textId="77777777" w:rsidR="00A34CE3" w:rsidRPr="0097120B" w:rsidRDefault="00A34CE3" w:rsidP="00A34CE3">
            <w:pPr>
              <w:tabs>
                <w:tab w:val="num" w:pos="709"/>
              </w:tabs>
              <w:ind w:left="709" w:hanging="425"/>
              <w:jc w:val="both"/>
              <w:rPr>
                <w:rFonts w:ascii="Arial Narrow" w:eastAsia="Times New Roman" w:hAnsi="Arial Narrow" w:cs="Arial"/>
                <w:color w:val="333333"/>
                <w:sz w:val="10"/>
                <w:szCs w:val="10"/>
                <w:lang w:val="es-ES" w:eastAsia="es-GT"/>
              </w:rPr>
            </w:pPr>
          </w:p>
          <w:p w14:paraId="0D734B3C" w14:textId="2224FCFF" w:rsidR="00A34CE3" w:rsidRPr="0097120B" w:rsidRDefault="00A34CE3" w:rsidP="00E63E4B">
            <w:pPr>
              <w:numPr>
                <w:ilvl w:val="0"/>
                <w:numId w:val="13"/>
              </w:numPr>
              <w:ind w:left="709" w:hanging="425"/>
              <w:jc w:val="both"/>
              <w:rPr>
                <w:rFonts w:ascii="Arial Narrow" w:eastAsia="Times New Roman" w:hAnsi="Arial Narrow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>Prima</w:t>
            </w:r>
            <w:r w:rsidR="00D14CDD" w:rsidRPr="0097120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 xml:space="preserve"> </w:t>
            </w:r>
            <w:r w:rsidR="006B1E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 xml:space="preserve">FHA </w:t>
            </w:r>
            <w:r w:rsidR="00D14CDD" w:rsidRPr="0097120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>anticipada del primer año</w:t>
            </w:r>
            <w:r w:rsidRPr="0097120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>:</w:t>
            </w: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 Corresponde </w:t>
            </w:r>
            <w:r w:rsidR="001274A0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a</w:t>
            </w:r>
            <w:r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l 1.26% sobre el monto del financiamiento</w:t>
            </w:r>
            <w:r w:rsidR="00CC3628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 que otorga la Entidad Bancaria</w:t>
            </w:r>
            <w:r w:rsidR="00E63E4B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.</w:t>
            </w:r>
            <w:r w:rsidR="00B31B2D" w:rsidRPr="0097120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 </w:t>
            </w:r>
          </w:p>
          <w:p w14:paraId="4E243C1C" w14:textId="25281325" w:rsidR="00E63E4B" w:rsidRPr="00CC3628" w:rsidRDefault="00E63E4B" w:rsidP="00CB613A">
            <w:pPr>
              <w:jc w:val="both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0"/>
                <w:szCs w:val="10"/>
                <w:lang w:val="es-ES" w:eastAsia="es-GT"/>
              </w:rPr>
            </w:pPr>
          </w:p>
        </w:tc>
      </w:tr>
      <w:tr w:rsidR="00AA75B5" w14:paraId="471DC4A4" w14:textId="77777777" w:rsidTr="008D357D">
        <w:trPr>
          <w:trHeight w:val="1775"/>
        </w:trPr>
        <w:tc>
          <w:tcPr>
            <w:tcW w:w="9126" w:type="dxa"/>
          </w:tcPr>
          <w:p w14:paraId="10A215D2" w14:textId="77777777" w:rsidR="003F615C" w:rsidRPr="003F615C" w:rsidRDefault="003F615C" w:rsidP="00A34CE3">
            <w:pPr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</w:rPr>
            </w:pPr>
            <w:bookmarkStart w:id="1" w:name="_Hlk127429779"/>
          </w:p>
          <w:p w14:paraId="7D6AC3DE" w14:textId="46ED1742" w:rsidR="00A34CE3" w:rsidRPr="002F1F0C" w:rsidRDefault="00A34CE3" w:rsidP="00A34CE3">
            <w:pPr>
              <w:jc w:val="both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2F1F0C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NOTA</w:t>
            </w:r>
            <w:r w:rsidR="009D1E74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S</w:t>
            </w:r>
            <w:r w:rsidRPr="002F1F0C">
              <w:rPr>
                <w:rFonts w:ascii="Arial" w:hAnsi="Arial" w:cs="Arial"/>
                <w:b/>
                <w:bCs/>
                <w:color w:val="1F3864" w:themeColor="accent1" w:themeShade="80"/>
              </w:rPr>
              <w:t>:</w:t>
            </w:r>
          </w:p>
          <w:p w14:paraId="03E9097F" w14:textId="77777777" w:rsidR="00A34CE3" w:rsidRPr="008E314D" w:rsidRDefault="00A34CE3" w:rsidP="00A34CE3">
            <w:pPr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</w:rPr>
            </w:pPr>
          </w:p>
          <w:p w14:paraId="144930C9" w14:textId="372F4F56" w:rsidR="00CA24A4" w:rsidRPr="0097120B" w:rsidRDefault="00A34CE3" w:rsidP="009257AD">
            <w:pPr>
              <w:numPr>
                <w:ilvl w:val="0"/>
                <w:numId w:val="25"/>
              </w:numPr>
              <w:spacing w:after="150"/>
              <w:ind w:left="306" w:hanging="171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Mientras se </w:t>
            </w:r>
            <w:r w:rsidR="004F2051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hace </w:t>
            </w: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entrega el avalúo del Inmueble </w:t>
            </w:r>
            <w:r w:rsidR="007C1778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se </w:t>
            </w: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puede avanzar con los pasos 2 y 3.</w:t>
            </w:r>
          </w:p>
          <w:p w14:paraId="63D6EBB7" w14:textId="5A60A952" w:rsidR="00AA75B5" w:rsidRPr="00A34CE3" w:rsidRDefault="00A34CE3" w:rsidP="009257AD">
            <w:pPr>
              <w:numPr>
                <w:ilvl w:val="0"/>
                <w:numId w:val="25"/>
              </w:numPr>
              <w:spacing w:after="150"/>
              <w:ind w:left="306" w:hanging="171"/>
              <w:jc w:val="both"/>
              <w:rPr>
                <w:rFonts w:ascii="Arial" w:eastAsia="Times New Roman" w:hAnsi="Arial" w:cs="Arial"/>
                <w:color w:val="333333"/>
                <w:lang w:val="es-ES" w:eastAsia="es-GT"/>
              </w:rPr>
            </w:pP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El proceso de escrituración, inscripción en el Registro General de La Propiedad y desembolso del financiamiento, se realizará directamente </w:t>
            </w:r>
            <w:r w:rsidR="003C77C6"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en</w:t>
            </w:r>
            <w:r w:rsidRPr="0097120B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 la Entidad Bancaria.</w:t>
            </w:r>
          </w:p>
        </w:tc>
      </w:tr>
    </w:tbl>
    <w:bookmarkEnd w:id="1"/>
    <w:p w14:paraId="025B947A" w14:textId="7B115297" w:rsidR="00CB62EC" w:rsidRDefault="005260B8" w:rsidP="002E60EE">
      <w:pPr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</w:rPr>
      </w:pPr>
      <w:r w:rsidRPr="005260B8">
        <w:rPr>
          <w:rFonts w:ascii="Arial" w:hAnsi="Arial" w:cs="Arial"/>
          <w:b/>
          <w:bCs/>
          <w:noProof/>
          <w:color w:val="1F3864" w:themeColor="accent1" w:themeShade="80"/>
        </w:rPr>
        <w:lastRenderedPageBreak/>
        <w:drawing>
          <wp:inline distT="0" distB="0" distL="0" distR="0" wp14:anchorId="04DE98D2" wp14:editId="63888633">
            <wp:extent cx="5886450" cy="7838440"/>
            <wp:effectExtent l="0" t="0" r="0" b="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7572" cy="78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2EC" w:rsidSect="00635668">
      <w:headerReference w:type="default" r:id="rId8"/>
      <w:pgSz w:w="12240" w:h="15840"/>
      <w:pgMar w:top="1134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C000" w14:textId="77777777" w:rsidR="0059648B" w:rsidRDefault="0059648B" w:rsidP="00020BF7">
      <w:pPr>
        <w:spacing w:after="0" w:line="240" w:lineRule="auto"/>
      </w:pPr>
      <w:r>
        <w:separator/>
      </w:r>
    </w:p>
  </w:endnote>
  <w:endnote w:type="continuationSeparator" w:id="0">
    <w:p w14:paraId="5E0E3A31" w14:textId="77777777" w:rsidR="0059648B" w:rsidRDefault="0059648B" w:rsidP="0002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5FF6" w14:textId="77777777" w:rsidR="0059648B" w:rsidRDefault="0059648B" w:rsidP="00020BF7">
      <w:pPr>
        <w:spacing w:after="0" w:line="240" w:lineRule="auto"/>
      </w:pPr>
      <w:r>
        <w:separator/>
      </w:r>
    </w:p>
  </w:footnote>
  <w:footnote w:type="continuationSeparator" w:id="0">
    <w:p w14:paraId="19362ACD" w14:textId="77777777" w:rsidR="0059648B" w:rsidRDefault="0059648B" w:rsidP="0002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7229"/>
    </w:tblGrid>
    <w:tr w:rsidR="00020BF7" w14:paraId="35F21677" w14:textId="77777777" w:rsidTr="00917D70">
      <w:trPr>
        <w:cantSplit/>
        <w:trHeight w:val="907"/>
        <w:tblHeader/>
      </w:trPr>
      <w:tc>
        <w:tcPr>
          <w:tcW w:w="2269" w:type="dxa"/>
          <w:vAlign w:val="center"/>
        </w:tcPr>
        <w:p w14:paraId="0986AE76" w14:textId="77777777" w:rsidR="00020BF7" w:rsidRPr="00446DAF" w:rsidRDefault="00020BF7" w:rsidP="00020BF7">
          <w:pPr>
            <w:spacing w:after="100"/>
            <w:jc w:val="center"/>
            <w:rPr>
              <w:rFonts w:ascii="Arial Narrow" w:hAnsi="Arial Narrow"/>
              <w:b/>
              <w:sz w:val="32"/>
              <w:szCs w:val="32"/>
              <w:lang w:val="es-CR"/>
            </w:rPr>
          </w:pPr>
          <w:r>
            <w:rPr>
              <w:noProof/>
              <w:lang w:eastAsia="es-GT"/>
            </w:rPr>
            <w:drawing>
              <wp:anchor distT="0" distB="0" distL="114300" distR="114300" simplePos="0" relativeHeight="251658240" behindDoc="0" locked="0" layoutInCell="1" allowOverlap="1" wp14:anchorId="2354A43B" wp14:editId="59A82762">
                <wp:simplePos x="0" y="0"/>
                <wp:positionH relativeFrom="column">
                  <wp:posOffset>50800</wp:posOffset>
                </wp:positionH>
                <wp:positionV relativeFrom="paragraph">
                  <wp:posOffset>20955</wp:posOffset>
                </wp:positionV>
                <wp:extent cx="1190838" cy="447675"/>
                <wp:effectExtent l="0" t="0" r="9525" b="0"/>
                <wp:wrapNone/>
                <wp:docPr id="5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838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vAlign w:val="center"/>
        </w:tcPr>
        <w:p w14:paraId="0EDFACBA" w14:textId="77777777" w:rsidR="00020BF7" w:rsidRPr="00446DAF" w:rsidRDefault="00020BF7" w:rsidP="00020BF7">
          <w:pPr>
            <w:spacing w:after="100"/>
            <w:jc w:val="center"/>
            <w:rPr>
              <w:rFonts w:ascii="Arial Narrow" w:hAnsi="Arial Narrow"/>
              <w:b/>
              <w:sz w:val="32"/>
              <w:szCs w:val="32"/>
              <w:lang w:val="es-CR"/>
            </w:rPr>
          </w:pPr>
          <w:r>
            <w:rPr>
              <w:rFonts w:ascii="Arial Narrow" w:hAnsi="Arial Narrow"/>
              <w:b/>
              <w:sz w:val="32"/>
              <w:szCs w:val="32"/>
              <w:lang w:val="es-CR"/>
            </w:rPr>
            <w:t>VIVIENDA EXISTENTE</w:t>
          </w:r>
        </w:p>
      </w:tc>
    </w:tr>
  </w:tbl>
  <w:p w14:paraId="2E57FD2D" w14:textId="77777777" w:rsidR="00020BF7" w:rsidRDefault="00020B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0DA"/>
    <w:multiLevelType w:val="hybridMultilevel"/>
    <w:tmpl w:val="2582597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4E59"/>
    <w:multiLevelType w:val="hybridMultilevel"/>
    <w:tmpl w:val="B0869716"/>
    <w:lvl w:ilvl="0" w:tplc="9CA040F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91F6A"/>
    <w:multiLevelType w:val="multilevel"/>
    <w:tmpl w:val="DAD4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D7D43"/>
    <w:multiLevelType w:val="hybridMultilevel"/>
    <w:tmpl w:val="3B221B0A"/>
    <w:lvl w:ilvl="0" w:tplc="3DF416F0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0C21D9"/>
    <w:multiLevelType w:val="hybridMultilevel"/>
    <w:tmpl w:val="4E2E9F94"/>
    <w:lvl w:ilvl="0" w:tplc="1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7B6883"/>
    <w:multiLevelType w:val="hybridMultilevel"/>
    <w:tmpl w:val="7A766C68"/>
    <w:lvl w:ilvl="0" w:tplc="3DF416F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3ACD"/>
    <w:multiLevelType w:val="multilevel"/>
    <w:tmpl w:val="EF7A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69AD"/>
    <w:multiLevelType w:val="hybridMultilevel"/>
    <w:tmpl w:val="BF50D66C"/>
    <w:lvl w:ilvl="0" w:tplc="3DF416F0">
      <w:start w:val="1"/>
      <w:numFmt w:val="bullet"/>
      <w:lvlText w:val=""/>
      <w:lvlJc w:val="left"/>
      <w:pPr>
        <w:ind w:left="1287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00255B"/>
    <w:multiLevelType w:val="hybridMultilevel"/>
    <w:tmpl w:val="82E4DAD6"/>
    <w:lvl w:ilvl="0" w:tplc="CF2A2B6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313E2"/>
    <w:multiLevelType w:val="multilevel"/>
    <w:tmpl w:val="0860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E1200"/>
    <w:multiLevelType w:val="hybridMultilevel"/>
    <w:tmpl w:val="53D212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5543F"/>
    <w:multiLevelType w:val="multilevel"/>
    <w:tmpl w:val="96CA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261E8"/>
    <w:multiLevelType w:val="hybridMultilevel"/>
    <w:tmpl w:val="A8AC5918"/>
    <w:lvl w:ilvl="0" w:tplc="CF2A2B68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E6BE3"/>
    <w:multiLevelType w:val="multilevel"/>
    <w:tmpl w:val="359C31C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D1DEA"/>
    <w:multiLevelType w:val="hybridMultilevel"/>
    <w:tmpl w:val="9C3880F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24059"/>
    <w:multiLevelType w:val="multilevel"/>
    <w:tmpl w:val="BE1A95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BF0C43"/>
    <w:multiLevelType w:val="multilevel"/>
    <w:tmpl w:val="7BE454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739C6"/>
    <w:multiLevelType w:val="hybridMultilevel"/>
    <w:tmpl w:val="7940F2A6"/>
    <w:lvl w:ilvl="0" w:tplc="4D74F3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95A9F"/>
    <w:multiLevelType w:val="hybridMultilevel"/>
    <w:tmpl w:val="92D210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A255D"/>
    <w:multiLevelType w:val="multilevel"/>
    <w:tmpl w:val="1458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AC61B3"/>
    <w:multiLevelType w:val="hybridMultilevel"/>
    <w:tmpl w:val="16587B7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311BE"/>
    <w:multiLevelType w:val="multilevel"/>
    <w:tmpl w:val="B122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981641"/>
    <w:multiLevelType w:val="hybridMultilevel"/>
    <w:tmpl w:val="ECB808CC"/>
    <w:lvl w:ilvl="0" w:tplc="CF2A2B68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DF2684"/>
    <w:multiLevelType w:val="hybridMultilevel"/>
    <w:tmpl w:val="532C20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B2B7B"/>
    <w:multiLevelType w:val="multilevel"/>
    <w:tmpl w:val="A8E8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F27104"/>
    <w:multiLevelType w:val="hybridMultilevel"/>
    <w:tmpl w:val="385A22B8"/>
    <w:lvl w:ilvl="0" w:tplc="30FC9D6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bCs/>
        <w:color w:val="1F3864" w:themeColor="accent1" w:themeShade="80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101D3"/>
    <w:multiLevelType w:val="multilevel"/>
    <w:tmpl w:val="714E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A85941"/>
    <w:multiLevelType w:val="hybridMultilevel"/>
    <w:tmpl w:val="BA5A8ED2"/>
    <w:lvl w:ilvl="0" w:tplc="CF2A2B68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6393570">
    <w:abstractNumId w:val="9"/>
  </w:num>
  <w:num w:numId="2" w16cid:durableId="1165559799">
    <w:abstractNumId w:val="14"/>
  </w:num>
  <w:num w:numId="3" w16cid:durableId="769473993">
    <w:abstractNumId w:val="1"/>
  </w:num>
  <w:num w:numId="4" w16cid:durableId="1488520606">
    <w:abstractNumId w:val="7"/>
  </w:num>
  <w:num w:numId="5" w16cid:durableId="1175457179">
    <w:abstractNumId w:val="10"/>
  </w:num>
  <w:num w:numId="6" w16cid:durableId="704260010">
    <w:abstractNumId w:val="18"/>
  </w:num>
  <w:num w:numId="7" w16cid:durableId="1458328858">
    <w:abstractNumId w:val="23"/>
  </w:num>
  <w:num w:numId="8" w16cid:durableId="314914545">
    <w:abstractNumId w:val="25"/>
  </w:num>
  <w:num w:numId="9" w16cid:durableId="129251082">
    <w:abstractNumId w:val="20"/>
  </w:num>
  <w:num w:numId="10" w16cid:durableId="1148325999">
    <w:abstractNumId w:val="5"/>
  </w:num>
  <w:num w:numId="11" w16cid:durableId="1089548758">
    <w:abstractNumId w:val="3"/>
  </w:num>
  <w:num w:numId="12" w16cid:durableId="217017948">
    <w:abstractNumId w:val="2"/>
  </w:num>
  <w:num w:numId="13" w16cid:durableId="794325798">
    <w:abstractNumId w:val="13"/>
  </w:num>
  <w:num w:numId="14" w16cid:durableId="329254411">
    <w:abstractNumId w:val="21"/>
  </w:num>
  <w:num w:numId="15" w16cid:durableId="87433342">
    <w:abstractNumId w:val="24"/>
  </w:num>
  <w:num w:numId="16" w16cid:durableId="986938931">
    <w:abstractNumId w:val="0"/>
  </w:num>
  <w:num w:numId="17" w16cid:durableId="1109282195">
    <w:abstractNumId w:val="8"/>
  </w:num>
  <w:num w:numId="18" w16cid:durableId="1984235649">
    <w:abstractNumId w:val="27"/>
  </w:num>
  <w:num w:numId="19" w16cid:durableId="518661470">
    <w:abstractNumId w:val="12"/>
  </w:num>
  <w:num w:numId="20" w16cid:durableId="2096971372">
    <w:abstractNumId w:val="22"/>
  </w:num>
  <w:num w:numId="21" w16cid:durableId="2038306565">
    <w:abstractNumId w:val="11"/>
  </w:num>
  <w:num w:numId="22" w16cid:durableId="1925526770">
    <w:abstractNumId w:val="26"/>
  </w:num>
  <w:num w:numId="23" w16cid:durableId="391387603">
    <w:abstractNumId w:val="6"/>
  </w:num>
  <w:num w:numId="24" w16cid:durableId="1404794491">
    <w:abstractNumId w:val="4"/>
  </w:num>
  <w:num w:numId="25" w16cid:durableId="1250886887">
    <w:abstractNumId w:val="19"/>
  </w:num>
  <w:num w:numId="26" w16cid:durableId="337395090">
    <w:abstractNumId w:val="16"/>
  </w:num>
  <w:num w:numId="27" w16cid:durableId="443304463">
    <w:abstractNumId w:val="17"/>
  </w:num>
  <w:num w:numId="28" w16cid:durableId="15696569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B6"/>
    <w:rsid w:val="00020BF7"/>
    <w:rsid w:val="0003688C"/>
    <w:rsid w:val="00043445"/>
    <w:rsid w:val="00052742"/>
    <w:rsid w:val="0005385E"/>
    <w:rsid w:val="00066D6F"/>
    <w:rsid w:val="00071738"/>
    <w:rsid w:val="00087E20"/>
    <w:rsid w:val="000A6E54"/>
    <w:rsid w:val="000C1460"/>
    <w:rsid w:val="000D53DB"/>
    <w:rsid w:val="00101CF4"/>
    <w:rsid w:val="001274A0"/>
    <w:rsid w:val="00172D49"/>
    <w:rsid w:val="00184F0F"/>
    <w:rsid w:val="001A32E4"/>
    <w:rsid w:val="001C6FF7"/>
    <w:rsid w:val="0020781D"/>
    <w:rsid w:val="002140EB"/>
    <w:rsid w:val="00234A0D"/>
    <w:rsid w:val="00260F3B"/>
    <w:rsid w:val="0027604E"/>
    <w:rsid w:val="002850DC"/>
    <w:rsid w:val="002E5AED"/>
    <w:rsid w:val="002E60EE"/>
    <w:rsid w:val="002E7A87"/>
    <w:rsid w:val="002F1F0C"/>
    <w:rsid w:val="00302E87"/>
    <w:rsid w:val="003534EC"/>
    <w:rsid w:val="003949E7"/>
    <w:rsid w:val="00394F75"/>
    <w:rsid w:val="0039585A"/>
    <w:rsid w:val="00395B9C"/>
    <w:rsid w:val="003A339C"/>
    <w:rsid w:val="003C77C6"/>
    <w:rsid w:val="003E1B67"/>
    <w:rsid w:val="003E2936"/>
    <w:rsid w:val="003F615C"/>
    <w:rsid w:val="004225D3"/>
    <w:rsid w:val="00427338"/>
    <w:rsid w:val="00436BCB"/>
    <w:rsid w:val="0044323A"/>
    <w:rsid w:val="00456536"/>
    <w:rsid w:val="00474F21"/>
    <w:rsid w:val="004A0C82"/>
    <w:rsid w:val="004A3725"/>
    <w:rsid w:val="004A65B5"/>
    <w:rsid w:val="004D769B"/>
    <w:rsid w:val="004E1320"/>
    <w:rsid w:val="004E3161"/>
    <w:rsid w:val="004F2051"/>
    <w:rsid w:val="00502EB3"/>
    <w:rsid w:val="00524AD5"/>
    <w:rsid w:val="005260B8"/>
    <w:rsid w:val="005358A9"/>
    <w:rsid w:val="00550957"/>
    <w:rsid w:val="005530D5"/>
    <w:rsid w:val="0055689A"/>
    <w:rsid w:val="00582355"/>
    <w:rsid w:val="0059648B"/>
    <w:rsid w:val="005C0E60"/>
    <w:rsid w:val="00611B7C"/>
    <w:rsid w:val="00635668"/>
    <w:rsid w:val="006360FC"/>
    <w:rsid w:val="00640D04"/>
    <w:rsid w:val="006627C5"/>
    <w:rsid w:val="006A3EE3"/>
    <w:rsid w:val="006A4779"/>
    <w:rsid w:val="006B1E2E"/>
    <w:rsid w:val="006C1818"/>
    <w:rsid w:val="006C686E"/>
    <w:rsid w:val="006F6230"/>
    <w:rsid w:val="00721889"/>
    <w:rsid w:val="0074476E"/>
    <w:rsid w:val="00757A02"/>
    <w:rsid w:val="00761632"/>
    <w:rsid w:val="0076282F"/>
    <w:rsid w:val="00773B03"/>
    <w:rsid w:val="007A3028"/>
    <w:rsid w:val="007C1778"/>
    <w:rsid w:val="007D6FA5"/>
    <w:rsid w:val="007E5622"/>
    <w:rsid w:val="008201F3"/>
    <w:rsid w:val="00825D48"/>
    <w:rsid w:val="00856D3A"/>
    <w:rsid w:val="008641ED"/>
    <w:rsid w:val="00894FF1"/>
    <w:rsid w:val="008A023E"/>
    <w:rsid w:val="008C2B9C"/>
    <w:rsid w:val="008D357D"/>
    <w:rsid w:val="008D55BA"/>
    <w:rsid w:val="008E314D"/>
    <w:rsid w:val="008E64B4"/>
    <w:rsid w:val="008E663F"/>
    <w:rsid w:val="00921247"/>
    <w:rsid w:val="009257AD"/>
    <w:rsid w:val="00960B86"/>
    <w:rsid w:val="0097120B"/>
    <w:rsid w:val="00981B80"/>
    <w:rsid w:val="009A2656"/>
    <w:rsid w:val="009A71BC"/>
    <w:rsid w:val="009D1E74"/>
    <w:rsid w:val="009D4D54"/>
    <w:rsid w:val="00A1732B"/>
    <w:rsid w:val="00A2546D"/>
    <w:rsid w:val="00A348F0"/>
    <w:rsid w:val="00A34CE3"/>
    <w:rsid w:val="00A65AEF"/>
    <w:rsid w:val="00A75792"/>
    <w:rsid w:val="00A94DF9"/>
    <w:rsid w:val="00AA75B5"/>
    <w:rsid w:val="00AB318A"/>
    <w:rsid w:val="00AC1FFB"/>
    <w:rsid w:val="00B064B2"/>
    <w:rsid w:val="00B26E0B"/>
    <w:rsid w:val="00B30058"/>
    <w:rsid w:val="00B31B2D"/>
    <w:rsid w:val="00B62ACE"/>
    <w:rsid w:val="00B661CD"/>
    <w:rsid w:val="00B93AFC"/>
    <w:rsid w:val="00B953CE"/>
    <w:rsid w:val="00BB3E30"/>
    <w:rsid w:val="00BC4180"/>
    <w:rsid w:val="00BD65BA"/>
    <w:rsid w:val="00BE168E"/>
    <w:rsid w:val="00BE39CF"/>
    <w:rsid w:val="00BF0F85"/>
    <w:rsid w:val="00C25C4B"/>
    <w:rsid w:val="00C73174"/>
    <w:rsid w:val="00CA24A4"/>
    <w:rsid w:val="00CA7219"/>
    <w:rsid w:val="00CB613A"/>
    <w:rsid w:val="00CB62EC"/>
    <w:rsid w:val="00CC3628"/>
    <w:rsid w:val="00CE1E47"/>
    <w:rsid w:val="00CE3FCE"/>
    <w:rsid w:val="00CE6EB6"/>
    <w:rsid w:val="00D0576A"/>
    <w:rsid w:val="00D14CDD"/>
    <w:rsid w:val="00D26A22"/>
    <w:rsid w:val="00D36581"/>
    <w:rsid w:val="00D62059"/>
    <w:rsid w:val="00DB5607"/>
    <w:rsid w:val="00DD4006"/>
    <w:rsid w:val="00DD775D"/>
    <w:rsid w:val="00DE4F09"/>
    <w:rsid w:val="00E12C56"/>
    <w:rsid w:val="00E14DCD"/>
    <w:rsid w:val="00E16315"/>
    <w:rsid w:val="00E2037B"/>
    <w:rsid w:val="00E21377"/>
    <w:rsid w:val="00E63E4B"/>
    <w:rsid w:val="00E8136F"/>
    <w:rsid w:val="00ED01AF"/>
    <w:rsid w:val="00EE465E"/>
    <w:rsid w:val="00EF25AC"/>
    <w:rsid w:val="00EF4EB7"/>
    <w:rsid w:val="00F13550"/>
    <w:rsid w:val="00F1603D"/>
    <w:rsid w:val="00F22893"/>
    <w:rsid w:val="00F5152B"/>
    <w:rsid w:val="00FA4D79"/>
    <w:rsid w:val="00FA62F5"/>
    <w:rsid w:val="00FD61B6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CBFE"/>
  <w15:chartTrackingRefBased/>
  <w15:docId w15:val="{BCA5F29B-8D30-4928-8C63-C43D3C39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E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7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02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0B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BF7"/>
  </w:style>
  <w:style w:type="paragraph" w:styleId="Piedepgina">
    <w:name w:val="footer"/>
    <w:basedOn w:val="Normal"/>
    <w:link w:val="PiedepginaCar"/>
    <w:uiPriority w:val="99"/>
    <w:unhideWhenUsed/>
    <w:rsid w:val="00020B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1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del Carmen Peñate</dc:creator>
  <cp:keywords/>
  <dc:description/>
  <cp:lastModifiedBy>Isabel del Carmen Peñate</cp:lastModifiedBy>
  <cp:revision>148</cp:revision>
  <cp:lastPrinted>2023-02-27T17:16:00Z</cp:lastPrinted>
  <dcterms:created xsi:type="dcterms:W3CDTF">2023-02-10T16:51:00Z</dcterms:created>
  <dcterms:modified xsi:type="dcterms:W3CDTF">2023-02-27T17:23:00Z</dcterms:modified>
</cp:coreProperties>
</file>